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7" w:rsidRDefault="000964A7" w:rsidP="000964A7">
      <w:pPr>
        <w:pStyle w:val="head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80"/>
        <w:gridCol w:w="1842"/>
      </w:tblGrid>
      <w:tr w:rsidR="008F75C9" w:rsidTr="008F75C9">
        <w:trPr>
          <w:gridAfter w:val="1"/>
          <w:wAfter w:w="1842" w:type="dxa"/>
          <w:trHeight w:val="20"/>
        </w:trPr>
        <w:tc>
          <w:tcPr>
            <w:tcW w:w="7380" w:type="dxa"/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</w:p>
        </w:tc>
      </w:tr>
      <w:tr w:rsidR="008F75C9" w:rsidTr="008F75C9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Период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Pr="007947E4" w:rsidRDefault="008F75C9" w:rsidP="009C393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 2014г.</w:t>
            </w:r>
          </w:p>
        </w:tc>
      </w:tr>
      <w:tr w:rsidR="008F75C9" w:rsidTr="008F75C9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Pr="007947E4" w:rsidRDefault="008F75C9" w:rsidP="009C393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271,42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Pr="007947E4" w:rsidRDefault="008F75C9" w:rsidP="009C393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913,43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14812,80 кВт</w:t>
            </w:r>
          </w:p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4,75 руб./кВт</w:t>
            </w:r>
          </w:p>
          <w:p w:rsidR="008F75C9" w:rsidRPr="00C92158" w:rsidRDefault="008F75C9" w:rsidP="009430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70,36 тыс.</w:t>
            </w:r>
            <w:r w:rsidRPr="00C92158">
              <w:rPr>
                <w:rFonts w:eastAsia="Times New Roman"/>
                <w:u w:val="single"/>
              </w:rPr>
              <w:t xml:space="preserve"> руб.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43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71,7</w:t>
            </w:r>
          </w:p>
          <w:p w:rsidR="008F75C9" w:rsidRDefault="008F75C9" w:rsidP="00943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21,7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43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65,6</w:t>
            </w:r>
          </w:p>
          <w:p w:rsidR="008F75C9" w:rsidRDefault="008F75C9" w:rsidP="009430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19,9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49,6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72,0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proofErr w:type="spellStart"/>
            <w:r>
              <w:t>з</w:t>
            </w:r>
            <w:proofErr w:type="spellEnd"/>
            <w:r>
              <w:t xml:space="preserve">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210,16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4" w:anchor="/document/99/499019324/XA00M3G2M3/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5" w:anchor="/document/99/499019324/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</w:t>
            </w:r>
            <w:r>
              <w:lastRenderedPageBreak/>
              <w:t xml:space="preserve">информации http://www.pravo.gov.ru, 15.05.2013)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274,3</w:t>
            </w:r>
          </w:p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(земельный налог)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lastRenderedPageBreak/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>7) Объем сточных вод, принятых от потребителей оказываемых услуг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39,3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>8) Объем сточных вод, принятых от других регулируемых организаций в сфере водоотведения и (или) очистки сточных вод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>9) Объем сточных вод, пропущенных через очистные сооружения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F75C9" w:rsidTr="008F75C9">
        <w:tc>
          <w:tcPr>
            <w:tcW w:w="7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pStyle w:val="formattext"/>
            </w:pPr>
            <w: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F75C9" w:rsidRDefault="008F75C9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0,75</w:t>
            </w:r>
          </w:p>
        </w:tc>
      </w:tr>
    </w:tbl>
    <w:p w:rsidR="00AE49CF" w:rsidRDefault="00AE49CF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p w:rsidR="008F75C9" w:rsidRDefault="008F75C9" w:rsidP="000964A7">
      <w:pPr>
        <w:pStyle w:val="headertext"/>
        <w:jc w:val="center"/>
      </w:pPr>
    </w:p>
    <w:sectPr w:rsidR="008F75C9" w:rsidSect="0079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A7"/>
    <w:rsid w:val="000964A7"/>
    <w:rsid w:val="000E0C4D"/>
    <w:rsid w:val="00264F62"/>
    <w:rsid w:val="007947E4"/>
    <w:rsid w:val="00797EC9"/>
    <w:rsid w:val="00805EFD"/>
    <w:rsid w:val="00850E5F"/>
    <w:rsid w:val="008D120D"/>
    <w:rsid w:val="008F75C9"/>
    <w:rsid w:val="009036A2"/>
    <w:rsid w:val="00922606"/>
    <w:rsid w:val="009430AB"/>
    <w:rsid w:val="00AE49CF"/>
    <w:rsid w:val="00C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64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964A7"/>
    <w:rPr>
      <w:color w:val="0000FF"/>
      <w:u w:val="single"/>
    </w:rPr>
  </w:style>
  <w:style w:type="paragraph" w:customStyle="1" w:styleId="formattext">
    <w:name w:val="formattext"/>
    <w:basedOn w:val="a"/>
    <w:rsid w:val="000964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n.1gl.ru/" TargetMode="External"/><Relationship Id="rId4" Type="http://schemas.openxmlformats.org/officeDocument/2006/relationships/hyperlink" Target="http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ang</cp:lastModifiedBy>
  <cp:revision>4</cp:revision>
  <cp:lastPrinted>2014-07-01T05:45:00Z</cp:lastPrinted>
  <dcterms:created xsi:type="dcterms:W3CDTF">2015-04-30T06:15:00Z</dcterms:created>
  <dcterms:modified xsi:type="dcterms:W3CDTF">2015-04-30T10:43:00Z</dcterms:modified>
</cp:coreProperties>
</file>